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215F3" w14:textId="77777777" w:rsidR="00EB1C5A" w:rsidRPr="00E14EC2" w:rsidRDefault="00EB1C5A" w:rsidP="004321DB">
      <w:pPr>
        <w:pStyle w:val="F2-zkladn"/>
        <w:rPr>
          <w:b/>
          <w:sz w:val="28"/>
          <w:szCs w:val="28"/>
        </w:rPr>
      </w:pPr>
      <w:r>
        <w:rPr>
          <w:b/>
          <w:sz w:val="28"/>
          <w:szCs w:val="28"/>
        </w:rPr>
        <w:t>TISKOVÁ ZPRÁVA</w:t>
      </w:r>
    </w:p>
    <w:p w14:paraId="3730F680" w14:textId="5F6872AF" w:rsidR="00EB1C5A" w:rsidRDefault="00EB1C5A" w:rsidP="004321DB">
      <w:pPr>
        <w:pStyle w:val="F2-zkladn"/>
        <w:tabs>
          <w:tab w:val="right" w:pos="9070"/>
        </w:tabs>
      </w:pPr>
      <w:r>
        <w:tab/>
      </w:r>
      <w:r w:rsidR="7C25CE9C">
        <w:t xml:space="preserve"> </w:t>
      </w:r>
      <w:r w:rsidR="00BE16A9">
        <w:t xml:space="preserve">Praha, </w:t>
      </w:r>
      <w:r w:rsidR="00461F74">
        <w:t>2</w:t>
      </w:r>
      <w:r w:rsidR="00236F79">
        <w:t>9</w:t>
      </w:r>
      <w:r w:rsidR="00BE16A9" w:rsidRPr="001665B3">
        <w:t>.</w:t>
      </w:r>
      <w:r w:rsidR="00BE16A9">
        <w:t xml:space="preserve"> </w:t>
      </w:r>
      <w:r w:rsidR="006F03A6">
        <w:t>ledna</w:t>
      </w:r>
      <w:r w:rsidR="625BE913">
        <w:t xml:space="preserve"> </w:t>
      </w:r>
      <w:r w:rsidR="00BE16A9">
        <w:t>202</w:t>
      </w:r>
      <w:r w:rsidR="006F03A6">
        <w:t>5</w:t>
      </w:r>
    </w:p>
    <w:p w14:paraId="1D4672CB" w14:textId="77777777" w:rsidR="007A39B8" w:rsidRDefault="007A39B8" w:rsidP="007A39B8">
      <w:pPr>
        <w:tabs>
          <w:tab w:val="right" w:pos="9070"/>
        </w:tabs>
        <w:spacing w:after="0" w:line="264" w:lineRule="auto"/>
        <w:jc w:val="both"/>
        <w:rPr>
          <w:rFonts w:ascii="Arial" w:hAnsi="Arial" w:cs="Arial"/>
          <w:b/>
          <w:bCs/>
          <w:sz w:val="24"/>
          <w:szCs w:val="24"/>
        </w:rPr>
      </w:pPr>
    </w:p>
    <w:p w14:paraId="074C1660" w14:textId="77777777" w:rsidR="009D7BD7" w:rsidRPr="009D7BD7" w:rsidRDefault="48A55F41" w:rsidP="009D7BD7">
      <w:pPr>
        <w:tabs>
          <w:tab w:val="right" w:pos="9070"/>
        </w:tabs>
        <w:spacing w:after="0" w:line="264" w:lineRule="auto"/>
        <w:jc w:val="center"/>
        <w:rPr>
          <w:rFonts w:ascii="Arial" w:hAnsi="Arial" w:cs="Arial"/>
          <w:b/>
          <w:bCs/>
          <w:sz w:val="26"/>
          <w:szCs w:val="26"/>
        </w:rPr>
      </w:pPr>
      <w:r w:rsidRPr="574DCD63">
        <w:rPr>
          <w:rFonts w:ascii="Arial" w:hAnsi="Arial" w:cs="Arial"/>
          <w:b/>
          <w:bCs/>
          <w:sz w:val="26"/>
          <w:szCs w:val="26"/>
        </w:rPr>
        <w:t xml:space="preserve">Analýza TPA: </w:t>
      </w:r>
      <w:r w:rsidR="009D7BD7" w:rsidRPr="009D7BD7">
        <w:rPr>
          <w:rFonts w:ascii="Arial" w:hAnsi="Arial" w:cs="Arial"/>
          <w:b/>
          <w:bCs/>
          <w:sz w:val="26"/>
          <w:szCs w:val="26"/>
        </w:rPr>
        <w:t>Oživení na trhu fúzí a akvizic se loni nedostavilo. Počet transakcí sice loni v ČR stoupl, jejich hodnota ale klesla</w:t>
      </w:r>
    </w:p>
    <w:p w14:paraId="5CA8CB40" w14:textId="77777777" w:rsidR="007A39B8" w:rsidRPr="007A39B8" w:rsidRDefault="007A39B8" w:rsidP="007A39B8">
      <w:pPr>
        <w:pStyle w:val="Default"/>
        <w:spacing w:line="264" w:lineRule="auto"/>
        <w:jc w:val="both"/>
        <w:rPr>
          <w:rFonts w:eastAsia="Times New Roman"/>
          <w:b/>
          <w:bCs/>
          <w:sz w:val="28"/>
          <w:szCs w:val="28"/>
          <w:lang w:eastAsia="cs-CZ"/>
        </w:rPr>
      </w:pPr>
    </w:p>
    <w:p w14:paraId="2A71CD8A" w14:textId="77777777" w:rsidR="009D7BD7" w:rsidRDefault="009D7BD7" w:rsidP="005500FE">
      <w:pPr>
        <w:pStyle w:val="Default"/>
        <w:spacing w:line="264" w:lineRule="auto"/>
        <w:jc w:val="both"/>
        <w:rPr>
          <w:rFonts w:eastAsia="Times New Roman"/>
          <w:b/>
          <w:bCs/>
          <w:sz w:val="22"/>
          <w:szCs w:val="22"/>
          <w:lang w:eastAsia="cs-CZ"/>
        </w:rPr>
      </w:pPr>
    </w:p>
    <w:p w14:paraId="7B119BA9" w14:textId="1D8521D3" w:rsidR="00501B48" w:rsidRPr="005732EB" w:rsidRDefault="009D7BD7" w:rsidP="00501B48">
      <w:pPr>
        <w:pStyle w:val="Default"/>
        <w:spacing w:line="264" w:lineRule="auto"/>
        <w:jc w:val="both"/>
        <w:rPr>
          <w:rFonts w:eastAsia="Times New Roman"/>
          <w:b/>
          <w:bCs/>
          <w:sz w:val="22"/>
          <w:szCs w:val="22"/>
          <w:lang w:eastAsia="cs-CZ"/>
        </w:rPr>
      </w:pPr>
      <w:r w:rsidRPr="009D7BD7">
        <w:rPr>
          <w:rFonts w:eastAsia="Times New Roman"/>
          <w:b/>
          <w:bCs/>
          <w:sz w:val="22"/>
          <w:szCs w:val="22"/>
          <w:lang w:eastAsia="cs-CZ"/>
        </w:rPr>
        <w:t xml:space="preserve">Počet transakcí na trhu fúzí a akvizic loni v České republice stoupl o šest procent na 101. Naopak objem transakcí se snížil téměř na polovinu hodnoty, která byla dosažena v roce 2023, tedy na 2,94 miliardy eur (zhruba 74 miliard Kč). Nejvýznamnější transakcí na území ČR byla loni akvizice portfolia CT Real Estate zahrnující 10 logistických parků na území ČR a Slovenska, které koupila americká investiční společnost </w:t>
      </w:r>
      <w:proofErr w:type="spellStart"/>
      <w:r w:rsidRPr="009D7BD7">
        <w:rPr>
          <w:rFonts w:eastAsia="Times New Roman"/>
          <w:b/>
          <w:bCs/>
          <w:sz w:val="22"/>
          <w:szCs w:val="22"/>
          <w:lang w:eastAsia="cs-CZ"/>
        </w:rPr>
        <w:t>Blackstone</w:t>
      </w:r>
      <w:proofErr w:type="spellEnd"/>
      <w:r w:rsidRPr="009D7BD7">
        <w:rPr>
          <w:rFonts w:eastAsia="Times New Roman"/>
          <w:b/>
          <w:bCs/>
          <w:sz w:val="22"/>
          <w:szCs w:val="22"/>
          <w:lang w:eastAsia="cs-CZ"/>
        </w:rPr>
        <w:t xml:space="preserve"> prostřednictvím firmy United </w:t>
      </w:r>
      <w:proofErr w:type="spellStart"/>
      <w:r w:rsidRPr="009D7BD7">
        <w:rPr>
          <w:rFonts w:eastAsia="Times New Roman"/>
          <w:b/>
          <w:bCs/>
          <w:sz w:val="22"/>
          <w:szCs w:val="22"/>
          <w:lang w:eastAsia="cs-CZ"/>
        </w:rPr>
        <w:t>Crystal</w:t>
      </w:r>
      <w:proofErr w:type="spellEnd"/>
      <w:r w:rsidRPr="009D7BD7">
        <w:rPr>
          <w:rFonts w:eastAsia="Times New Roman"/>
          <w:b/>
          <w:bCs/>
          <w:sz w:val="22"/>
          <w:szCs w:val="22"/>
          <w:lang w:eastAsia="cs-CZ"/>
        </w:rPr>
        <w:t xml:space="preserve">. Šlo přitom o jednu z největších realitních transakcí roku 2024 na území Evropy, a to za 470 milionů eur (zhruba 12 miliard Kč). </w:t>
      </w:r>
      <w:r w:rsidR="00501B48" w:rsidRPr="005732EB">
        <w:rPr>
          <w:rFonts w:eastAsia="Times New Roman"/>
          <w:b/>
          <w:bCs/>
          <w:sz w:val="22"/>
          <w:szCs w:val="22"/>
          <w:lang w:eastAsia="cs-CZ"/>
        </w:rPr>
        <w:t>Pro investory jsou atraktivní sektory počítačového softwaru, automatizace, digitalizace, robotizace či energetiky, zdravotnictví a infrastruktury. Vyplývá to ze statistik poradenské společnosti TPA.</w:t>
      </w:r>
    </w:p>
    <w:p w14:paraId="01A83575" w14:textId="6D8D9BDA" w:rsidR="009D7BD7" w:rsidRPr="009D7BD7" w:rsidRDefault="009D7BD7" w:rsidP="009D7BD7">
      <w:pPr>
        <w:pStyle w:val="Default"/>
        <w:spacing w:line="264" w:lineRule="auto"/>
        <w:jc w:val="both"/>
        <w:rPr>
          <w:rFonts w:eastAsia="Times New Roman"/>
          <w:b/>
          <w:bCs/>
          <w:lang w:eastAsia="cs-CZ"/>
        </w:rPr>
      </w:pPr>
    </w:p>
    <w:p w14:paraId="4343B4A2" w14:textId="40DFDD78" w:rsidR="00E5059E" w:rsidRPr="00B17834" w:rsidRDefault="00C64D57" w:rsidP="00E5059E">
      <w:pPr>
        <w:pStyle w:val="Default"/>
        <w:spacing w:line="264" w:lineRule="auto"/>
        <w:jc w:val="both"/>
        <w:rPr>
          <w:sz w:val="22"/>
          <w:szCs w:val="22"/>
        </w:rPr>
      </w:pPr>
      <w:r w:rsidRPr="00B17834">
        <w:rPr>
          <w:rFonts w:eastAsia="Calibri"/>
          <w:color w:val="auto"/>
          <w:sz w:val="22"/>
          <w:szCs w:val="22"/>
        </w:rPr>
        <w:t xml:space="preserve">V celém středoevropském regionu (Albánie, Bulharsko, Černá Hora, Česká republika, Chorvatsko, Maďarsko, Polsko, Rakousko, Rumunsko, Slovensko, Slovinsko a Srbsko) klesl </w:t>
      </w:r>
      <w:r w:rsidR="00E5059E" w:rsidRPr="00B17834">
        <w:rPr>
          <w:sz w:val="22"/>
          <w:szCs w:val="22"/>
        </w:rPr>
        <w:t xml:space="preserve">loni meziročně počet transakcí o </w:t>
      </w:r>
      <w:r w:rsidR="00701C2B" w:rsidRPr="008005C7">
        <w:rPr>
          <w:sz w:val="22"/>
          <w:szCs w:val="22"/>
        </w:rPr>
        <w:t>čtyři</w:t>
      </w:r>
      <w:r w:rsidR="00E5059E" w:rsidRPr="00B17834">
        <w:rPr>
          <w:sz w:val="22"/>
          <w:szCs w:val="22"/>
        </w:rPr>
        <w:t xml:space="preserve"> procenta na </w:t>
      </w:r>
      <w:r w:rsidR="00674C24">
        <w:rPr>
          <w:sz w:val="22"/>
          <w:szCs w:val="22"/>
        </w:rPr>
        <w:t>877</w:t>
      </w:r>
      <w:r w:rsidR="000021A3" w:rsidRPr="00B17834">
        <w:rPr>
          <w:sz w:val="22"/>
          <w:szCs w:val="22"/>
        </w:rPr>
        <w:t>.</w:t>
      </w:r>
      <w:r w:rsidR="00E5059E" w:rsidRPr="00B17834">
        <w:rPr>
          <w:sz w:val="22"/>
          <w:szCs w:val="22"/>
        </w:rPr>
        <w:t xml:space="preserve"> Jejich objem zároveň klesl na 22,7 miliardy eur (zhruba 572 miliard Kč) z 40,7 miliardy eur (zhruba 1,02 bilionu Kč) v roce 2023. Největší transakcí v roce 2024 byl v celém regionu prodej 100 </w:t>
      </w:r>
      <w:r w:rsidR="000021A3" w:rsidRPr="00B17834">
        <w:rPr>
          <w:sz w:val="22"/>
          <w:szCs w:val="22"/>
        </w:rPr>
        <w:t>%</w:t>
      </w:r>
      <w:r w:rsidR="00E5059E" w:rsidRPr="00B17834">
        <w:rPr>
          <w:sz w:val="22"/>
          <w:szCs w:val="22"/>
        </w:rPr>
        <w:t xml:space="preserve"> maďarské dopravní společnosti </w:t>
      </w:r>
      <w:proofErr w:type="spellStart"/>
      <w:r w:rsidR="00E5059E" w:rsidRPr="00B17834">
        <w:rPr>
          <w:sz w:val="22"/>
          <w:szCs w:val="22"/>
        </w:rPr>
        <w:t>Budapest</w:t>
      </w:r>
      <w:proofErr w:type="spellEnd"/>
      <w:r w:rsidR="00E5059E" w:rsidRPr="00B17834">
        <w:rPr>
          <w:sz w:val="22"/>
          <w:szCs w:val="22"/>
        </w:rPr>
        <w:t xml:space="preserve"> </w:t>
      </w:r>
      <w:proofErr w:type="spellStart"/>
      <w:r w:rsidR="00E5059E" w:rsidRPr="00B17834">
        <w:rPr>
          <w:sz w:val="22"/>
          <w:szCs w:val="22"/>
        </w:rPr>
        <w:t>Airport</w:t>
      </w:r>
      <w:proofErr w:type="spellEnd"/>
      <w:r w:rsidR="00E5059E" w:rsidRPr="00B17834">
        <w:rPr>
          <w:sz w:val="22"/>
          <w:szCs w:val="22"/>
        </w:rPr>
        <w:t xml:space="preserve"> </w:t>
      </w:r>
      <w:proofErr w:type="spellStart"/>
      <w:r w:rsidR="00E5059E" w:rsidRPr="00B17834">
        <w:rPr>
          <w:sz w:val="22"/>
          <w:szCs w:val="22"/>
        </w:rPr>
        <w:t>Zrt</w:t>
      </w:r>
      <w:proofErr w:type="spellEnd"/>
      <w:r w:rsidR="00E5059E" w:rsidRPr="00B17834">
        <w:rPr>
          <w:sz w:val="22"/>
          <w:szCs w:val="22"/>
        </w:rPr>
        <w:t xml:space="preserve"> za 4,3 miliardy eur (zhruba 108 miliard Kč).</w:t>
      </w:r>
    </w:p>
    <w:p w14:paraId="7AE2BB98" w14:textId="1775884A" w:rsidR="00E5059E" w:rsidRPr="00B17834" w:rsidRDefault="00E5059E" w:rsidP="00AD0D2A">
      <w:pPr>
        <w:pStyle w:val="Default"/>
        <w:spacing w:line="264" w:lineRule="auto"/>
        <w:jc w:val="both"/>
        <w:rPr>
          <w:rFonts w:eastAsia="Calibri"/>
          <w:color w:val="auto"/>
          <w:sz w:val="22"/>
          <w:szCs w:val="22"/>
        </w:rPr>
      </w:pPr>
    </w:p>
    <w:p w14:paraId="6E5FF7A9" w14:textId="3B89277F" w:rsidR="000021A3" w:rsidRPr="008A1C69" w:rsidRDefault="00B17834" w:rsidP="007F18A5">
      <w:pPr>
        <w:jc w:val="both"/>
        <w:rPr>
          <w:rFonts w:ascii="Arial" w:eastAsiaTheme="minorHAnsi" w:hAnsi="Arial" w:cs="Arial"/>
          <w:color w:val="000000"/>
        </w:rPr>
      </w:pPr>
      <w:r w:rsidRPr="00B17834">
        <w:rPr>
          <w:rFonts w:ascii="Arial" w:eastAsiaTheme="minorHAnsi" w:hAnsi="Arial" w:cs="Arial"/>
          <w:i/>
          <w:iCs/>
          <w:color w:val="000000"/>
        </w:rPr>
        <w:t>„</w:t>
      </w:r>
      <w:r>
        <w:rPr>
          <w:rFonts w:ascii="Arial" w:eastAsiaTheme="minorHAnsi" w:hAnsi="Arial" w:cs="Arial"/>
          <w:i/>
          <w:iCs/>
          <w:color w:val="000000"/>
        </w:rPr>
        <w:t xml:space="preserve">Pokud bychom měli závěry analýzy stručně shrnout, tak se </w:t>
      </w:r>
      <w:r w:rsidRPr="00B17834">
        <w:rPr>
          <w:rFonts w:ascii="Arial" w:eastAsiaTheme="minorHAnsi" w:hAnsi="Arial" w:cs="Arial"/>
          <w:i/>
          <w:iCs/>
          <w:color w:val="000000"/>
        </w:rPr>
        <w:t>předpokládané oživení na trhu fúzí a akvizic v roce 2024 nedostavilo. Očekáváme, že se oživení přesune na rok 2025,“</w:t>
      </w:r>
      <w:r>
        <w:rPr>
          <w:rFonts w:ascii="Arial" w:eastAsiaTheme="minorHAnsi" w:hAnsi="Arial" w:cs="Arial"/>
          <w:i/>
          <w:iCs/>
          <w:color w:val="000000"/>
        </w:rPr>
        <w:t xml:space="preserve"> </w:t>
      </w:r>
      <w:r w:rsidRPr="00B17834">
        <w:rPr>
          <w:rFonts w:ascii="Arial" w:eastAsiaTheme="minorHAnsi" w:hAnsi="Arial" w:cs="Arial"/>
          <w:color w:val="000000"/>
        </w:rPr>
        <w:t xml:space="preserve">uvedl Jiří Hlaváč partner TPA </w:t>
      </w:r>
      <w:proofErr w:type="spellStart"/>
      <w:r w:rsidRPr="00B17834">
        <w:rPr>
          <w:rFonts w:ascii="Arial" w:eastAsiaTheme="minorHAnsi" w:hAnsi="Arial" w:cs="Arial"/>
          <w:color w:val="000000"/>
        </w:rPr>
        <w:t>Valuation</w:t>
      </w:r>
      <w:proofErr w:type="spellEnd"/>
      <w:r w:rsidRPr="00B17834">
        <w:rPr>
          <w:rFonts w:ascii="Arial" w:eastAsiaTheme="minorHAnsi" w:hAnsi="Arial" w:cs="Arial"/>
          <w:color w:val="000000"/>
        </w:rPr>
        <w:t xml:space="preserve"> &amp; Advisory.</w:t>
      </w:r>
      <w:r>
        <w:rPr>
          <w:rFonts w:ascii="Arial" w:eastAsiaTheme="minorHAnsi" w:hAnsi="Arial" w:cs="Arial"/>
          <w:color w:val="000000"/>
        </w:rPr>
        <w:t xml:space="preserve"> </w:t>
      </w:r>
      <w:r w:rsidRPr="00B17834">
        <w:rPr>
          <w:rFonts w:ascii="Arial" w:eastAsiaTheme="minorHAnsi" w:hAnsi="Arial" w:cs="Arial"/>
          <w:color w:val="000000"/>
        </w:rPr>
        <w:t xml:space="preserve">Doplnil, že pro investory jsou atraktivní sektory počítačového softwaru, automatizace, digitalizace a robotizace či telekomunikací a zvýšená atraktivita zůstává v oblasti energetiky, zdravotnictví a infrastruktury. </w:t>
      </w:r>
      <w:r w:rsidRPr="00B17834">
        <w:rPr>
          <w:rFonts w:ascii="Arial" w:eastAsiaTheme="minorHAnsi" w:hAnsi="Arial" w:cs="Arial"/>
          <w:i/>
          <w:iCs/>
          <w:color w:val="000000"/>
        </w:rPr>
        <w:t>„Dlouhodobě trvá také zájem o výrobu s unikátním produktem. Situaci na trhu dále ovlivňuje konflikt na Ukrajině, který je pro potenciální investory pokračujícím omezením v podobě nejistoty budoucího vývoje v celém regionu,“</w:t>
      </w:r>
      <w:r w:rsidRPr="00B17834">
        <w:rPr>
          <w:rFonts w:ascii="Arial" w:eastAsiaTheme="minorHAnsi" w:hAnsi="Arial" w:cs="Arial"/>
          <w:color w:val="000000"/>
        </w:rPr>
        <w:t xml:space="preserve"> </w:t>
      </w:r>
      <w:r>
        <w:rPr>
          <w:rFonts w:ascii="Arial" w:eastAsiaTheme="minorHAnsi" w:hAnsi="Arial" w:cs="Arial"/>
          <w:color w:val="000000"/>
        </w:rPr>
        <w:t xml:space="preserve">upřesnil Hlaváč. </w:t>
      </w:r>
    </w:p>
    <w:p w14:paraId="01DF0E43" w14:textId="4914342F" w:rsidR="008A1C69" w:rsidRPr="00F02DAD" w:rsidRDefault="008A1C69" w:rsidP="008A1C69">
      <w:pPr>
        <w:jc w:val="both"/>
        <w:rPr>
          <w:rFonts w:ascii="Arial" w:hAnsi="Arial" w:cs="Arial"/>
        </w:rPr>
      </w:pPr>
      <w:r w:rsidRPr="00F02DAD">
        <w:rPr>
          <w:rFonts w:ascii="Arial" w:hAnsi="Arial" w:cs="Arial"/>
        </w:rPr>
        <w:t xml:space="preserve">V samotném čtvrtém čtvrtletí loňského roku v České republice počet i objem uskutečněných transakcí v meziročním srovnání stoupl. Na území ČR či se zapojením ČR se tak uskutečnilo 32 transakcí za zhruba 1,2 miliardy eur (30,2 miliardy Kč). Ve stejném období roku 2023 to bylo 29 transakcí za 1,16 miliardy eur (cca 29,2 miliardy Kč). Největší transakcí v ČR byla v posledním čtvrtletí loňského roku již zmíněná akvizice </w:t>
      </w:r>
      <w:r w:rsidR="00AD4861" w:rsidRPr="00F02DAD">
        <w:rPr>
          <w:rFonts w:ascii="Arial" w:hAnsi="Arial" w:cs="Arial"/>
        </w:rPr>
        <w:t>portfolia</w:t>
      </w:r>
      <w:r w:rsidRPr="00F02DAD">
        <w:rPr>
          <w:rFonts w:ascii="Arial" w:hAnsi="Arial" w:cs="Arial"/>
        </w:rPr>
        <w:t xml:space="preserve"> CT Real Estate, které zahrnuje 10 logistických parků na území ČR a Slovenska s celkovou plochou půl milionu čtverečních metrů.</w:t>
      </w:r>
    </w:p>
    <w:p w14:paraId="736F1CD4" w14:textId="77777777" w:rsidR="000021A3" w:rsidRDefault="000021A3" w:rsidP="00AD0D2A">
      <w:pPr>
        <w:pStyle w:val="Default"/>
        <w:spacing w:line="264" w:lineRule="auto"/>
        <w:jc w:val="both"/>
        <w:rPr>
          <w:rFonts w:eastAsia="Calibri"/>
          <w:color w:val="auto"/>
          <w:sz w:val="22"/>
          <w:szCs w:val="22"/>
        </w:rPr>
      </w:pPr>
    </w:p>
    <w:p w14:paraId="2A102AAA" w14:textId="77777777" w:rsidR="000021A3" w:rsidRDefault="000021A3" w:rsidP="00AD0D2A">
      <w:pPr>
        <w:pStyle w:val="Default"/>
        <w:spacing w:line="264" w:lineRule="auto"/>
        <w:jc w:val="both"/>
        <w:rPr>
          <w:rFonts w:eastAsia="Calibri"/>
          <w:color w:val="auto"/>
          <w:sz w:val="22"/>
          <w:szCs w:val="22"/>
        </w:rPr>
      </w:pPr>
    </w:p>
    <w:p w14:paraId="2952FAA9" w14:textId="77777777" w:rsidR="00E5059E" w:rsidRDefault="00E5059E" w:rsidP="00AD0D2A">
      <w:pPr>
        <w:pStyle w:val="Default"/>
        <w:spacing w:line="264" w:lineRule="auto"/>
        <w:jc w:val="both"/>
        <w:rPr>
          <w:rFonts w:eastAsia="Calibri"/>
          <w:color w:val="auto"/>
          <w:sz w:val="22"/>
          <w:szCs w:val="22"/>
        </w:rPr>
      </w:pPr>
    </w:p>
    <w:p w14:paraId="58838A35" w14:textId="77777777" w:rsidR="00E5059E" w:rsidRDefault="00E5059E" w:rsidP="00AD0D2A">
      <w:pPr>
        <w:pStyle w:val="Default"/>
        <w:spacing w:line="264" w:lineRule="auto"/>
        <w:jc w:val="both"/>
        <w:rPr>
          <w:rFonts w:eastAsia="Calibri"/>
          <w:color w:val="auto"/>
          <w:sz w:val="22"/>
          <w:szCs w:val="22"/>
        </w:rPr>
      </w:pPr>
    </w:p>
    <w:p w14:paraId="1E954834" w14:textId="19322E10" w:rsidR="008A1C69" w:rsidRPr="00F02DAD" w:rsidRDefault="008A1C69" w:rsidP="008A1C69">
      <w:pPr>
        <w:jc w:val="both"/>
        <w:rPr>
          <w:rFonts w:ascii="Arial" w:hAnsi="Arial" w:cs="Arial"/>
        </w:rPr>
      </w:pPr>
      <w:r w:rsidRPr="00F02DAD">
        <w:rPr>
          <w:rFonts w:ascii="Arial" w:hAnsi="Arial" w:cs="Arial"/>
        </w:rPr>
        <w:lastRenderedPageBreak/>
        <w:t>V celém středoevropském regionu klesl ve čtvrtém čtvrtletí loni meziročně počet transakcí o 31 na 191. Jejich objem zároveň klesl na 3,9 miliardy eur z 5,8 miliardy eur ve stejném období o rok dříve. Nejvíce transakcí bylo zaznamenáno opět v Polsku, zemí s největším objemem se stala Česká republika.</w:t>
      </w:r>
    </w:p>
    <w:p w14:paraId="548DCABA" w14:textId="77777777" w:rsidR="00F41FA0" w:rsidRPr="00F41FA0" w:rsidRDefault="00F41FA0" w:rsidP="00F41FA0">
      <w:pPr>
        <w:rPr>
          <w:rFonts w:ascii="Arial" w:hAnsi="Arial" w:cs="Arial"/>
        </w:rPr>
      </w:pPr>
    </w:p>
    <w:p w14:paraId="368A6582" w14:textId="77777777" w:rsidR="00021254" w:rsidRDefault="00021254" w:rsidP="003916F2">
      <w:pPr>
        <w:pStyle w:val="F2-zkladn"/>
        <w:tabs>
          <w:tab w:val="right" w:pos="9070"/>
        </w:tabs>
        <w:spacing w:before="0" w:line="240" w:lineRule="auto"/>
        <w:rPr>
          <w:b/>
        </w:rPr>
      </w:pPr>
    </w:p>
    <w:p w14:paraId="766502C4" w14:textId="77777777" w:rsidR="00EB1C5A" w:rsidRPr="007A39B8" w:rsidRDefault="00EB1C5A" w:rsidP="007A39B8">
      <w:pPr>
        <w:pStyle w:val="F2-zkladn"/>
        <w:tabs>
          <w:tab w:val="right" w:pos="9070"/>
        </w:tabs>
        <w:spacing w:before="0" w:line="264" w:lineRule="auto"/>
        <w:rPr>
          <w:b/>
        </w:rPr>
      </w:pPr>
      <w:r w:rsidRPr="007A39B8">
        <w:rPr>
          <w:b/>
        </w:rPr>
        <w:t>Pro více informací kontaktujte:</w:t>
      </w:r>
    </w:p>
    <w:p w14:paraId="1C28118A" w14:textId="73FE04A0" w:rsidR="00EB1C5A" w:rsidRPr="007A39B8" w:rsidRDefault="002A3294" w:rsidP="007A39B8">
      <w:pPr>
        <w:spacing w:after="0" w:line="264" w:lineRule="auto"/>
        <w:rPr>
          <w:rFonts w:ascii="Arial" w:hAnsi="Arial" w:cs="Arial"/>
          <w:sz w:val="20"/>
          <w:szCs w:val="20"/>
        </w:rPr>
      </w:pPr>
      <w:r w:rsidRPr="007A39B8">
        <w:rPr>
          <w:rFonts w:ascii="Arial" w:hAnsi="Arial" w:cs="Arial"/>
          <w:sz w:val="20"/>
          <w:szCs w:val="20"/>
        </w:rPr>
        <w:t xml:space="preserve">Kamila </w:t>
      </w:r>
      <w:proofErr w:type="spellStart"/>
      <w:r w:rsidRPr="007A39B8">
        <w:rPr>
          <w:rFonts w:ascii="Arial" w:hAnsi="Arial" w:cs="Arial"/>
          <w:sz w:val="20"/>
          <w:szCs w:val="20"/>
        </w:rPr>
        <w:t>Žitnáková</w:t>
      </w:r>
      <w:proofErr w:type="spellEnd"/>
    </w:p>
    <w:p w14:paraId="4835AA2F" w14:textId="77777777" w:rsidR="00EB1C5A" w:rsidRPr="007A39B8" w:rsidRDefault="00EB1C5A" w:rsidP="007A39B8">
      <w:pPr>
        <w:spacing w:after="0" w:line="264" w:lineRule="auto"/>
        <w:rPr>
          <w:rFonts w:ascii="Arial" w:hAnsi="Arial" w:cs="Arial"/>
          <w:b/>
          <w:bCs/>
          <w:sz w:val="20"/>
          <w:szCs w:val="20"/>
        </w:rPr>
      </w:pPr>
      <w:proofErr w:type="spellStart"/>
      <w:r w:rsidRPr="007A39B8">
        <w:rPr>
          <w:rFonts w:ascii="Arial" w:hAnsi="Arial" w:cs="Arial"/>
          <w:b/>
          <w:bCs/>
          <w:sz w:val="20"/>
          <w:szCs w:val="20"/>
        </w:rPr>
        <w:t>Crest</w:t>
      </w:r>
      <w:proofErr w:type="spellEnd"/>
      <w:r w:rsidRPr="007A39B8">
        <w:rPr>
          <w:rFonts w:ascii="Arial" w:hAnsi="Arial" w:cs="Arial"/>
          <w:b/>
          <w:bCs/>
          <w:sz w:val="20"/>
          <w:szCs w:val="20"/>
        </w:rPr>
        <w:t xml:space="preserve"> Communications, a.s.</w:t>
      </w:r>
    </w:p>
    <w:p w14:paraId="4DCE98C0" w14:textId="77777777" w:rsidR="00EB1C5A" w:rsidRPr="007A39B8" w:rsidRDefault="00EB1C5A" w:rsidP="007A39B8">
      <w:pPr>
        <w:spacing w:after="0" w:line="264" w:lineRule="auto"/>
        <w:rPr>
          <w:rFonts w:ascii="Arial" w:hAnsi="Arial" w:cs="Arial"/>
          <w:sz w:val="20"/>
          <w:szCs w:val="20"/>
        </w:rPr>
      </w:pPr>
      <w:r w:rsidRPr="007A39B8">
        <w:rPr>
          <w:rFonts w:ascii="Arial" w:hAnsi="Arial" w:cs="Arial"/>
          <w:sz w:val="20"/>
          <w:szCs w:val="20"/>
        </w:rPr>
        <w:t>Ostrovní 126/30</w:t>
      </w:r>
    </w:p>
    <w:p w14:paraId="09C6E920" w14:textId="77777777" w:rsidR="00EB1C5A" w:rsidRPr="007A39B8" w:rsidRDefault="00EB1C5A" w:rsidP="007A39B8">
      <w:pPr>
        <w:spacing w:after="0" w:line="264" w:lineRule="auto"/>
        <w:rPr>
          <w:rFonts w:ascii="Arial" w:hAnsi="Arial" w:cs="Arial"/>
          <w:sz w:val="20"/>
          <w:szCs w:val="20"/>
        </w:rPr>
      </w:pPr>
      <w:r w:rsidRPr="007A39B8">
        <w:rPr>
          <w:rFonts w:ascii="Arial" w:hAnsi="Arial" w:cs="Arial"/>
          <w:sz w:val="20"/>
          <w:szCs w:val="20"/>
        </w:rPr>
        <w:t>110 00 Praha 1</w:t>
      </w:r>
    </w:p>
    <w:p w14:paraId="2EEA2F44" w14:textId="5E276D42" w:rsidR="00EB1C5A" w:rsidRPr="007A39B8" w:rsidRDefault="00EB1C5A" w:rsidP="007A39B8">
      <w:pPr>
        <w:spacing w:after="0" w:line="264" w:lineRule="auto"/>
        <w:rPr>
          <w:rFonts w:ascii="Arial" w:hAnsi="Arial" w:cs="Arial"/>
          <w:sz w:val="20"/>
          <w:szCs w:val="20"/>
        </w:rPr>
      </w:pPr>
      <w:proofErr w:type="spellStart"/>
      <w:r w:rsidRPr="007A39B8">
        <w:rPr>
          <w:rFonts w:ascii="Arial" w:hAnsi="Arial" w:cs="Arial"/>
          <w:sz w:val="20"/>
          <w:szCs w:val="20"/>
        </w:rPr>
        <w:t>gsm</w:t>
      </w:r>
      <w:proofErr w:type="spellEnd"/>
      <w:r w:rsidRPr="007A39B8">
        <w:rPr>
          <w:rFonts w:ascii="Arial" w:hAnsi="Arial" w:cs="Arial"/>
          <w:sz w:val="20"/>
          <w:szCs w:val="20"/>
        </w:rPr>
        <w:t xml:space="preserve">: + 420 </w:t>
      </w:r>
      <w:r w:rsidR="003D5F96" w:rsidRPr="007A39B8">
        <w:rPr>
          <w:rFonts w:ascii="Arial" w:hAnsi="Arial" w:cs="Arial"/>
          <w:sz w:val="20"/>
          <w:szCs w:val="20"/>
        </w:rPr>
        <w:t>725 544 106</w:t>
      </w:r>
    </w:p>
    <w:p w14:paraId="692417D8" w14:textId="77777777" w:rsidR="00EB1C5A" w:rsidRPr="007A39B8" w:rsidRDefault="00EB1C5A" w:rsidP="007A39B8">
      <w:pPr>
        <w:spacing w:after="0" w:line="264" w:lineRule="auto"/>
        <w:rPr>
          <w:rFonts w:ascii="Arial" w:hAnsi="Arial" w:cs="Arial"/>
          <w:sz w:val="20"/>
          <w:szCs w:val="20"/>
        </w:rPr>
      </w:pPr>
      <w:hyperlink w:tooltip="blocked::http://www.crestcom.cz&#10;http://www.crestcom.cz/" w:history="1">
        <w:r w:rsidRPr="007A39B8">
          <w:rPr>
            <w:rStyle w:val="Hypertextovodkaz"/>
            <w:rFonts w:ascii="Arial" w:hAnsi="Arial" w:cs="Arial"/>
            <w:color w:val="990033"/>
            <w:sz w:val="20"/>
            <w:szCs w:val="20"/>
          </w:rPr>
          <w:t>www.crestcom.cz</w:t>
        </w:r>
      </w:hyperlink>
    </w:p>
    <w:p w14:paraId="28B3B900" w14:textId="5CDD139B" w:rsidR="00316D20" w:rsidRPr="007A39B8" w:rsidRDefault="00EB1C5A" w:rsidP="007A39B8">
      <w:pPr>
        <w:spacing w:after="0" w:line="264" w:lineRule="auto"/>
        <w:rPr>
          <w:rStyle w:val="Hypertextovodkaz"/>
          <w:rFonts w:ascii="Arial" w:hAnsi="Arial" w:cs="Arial"/>
          <w:color w:val="990033"/>
          <w:sz w:val="20"/>
          <w:szCs w:val="20"/>
        </w:rPr>
      </w:pPr>
      <w:r w:rsidRPr="007A39B8">
        <w:rPr>
          <w:rFonts w:ascii="Arial" w:hAnsi="Arial" w:cs="Arial"/>
          <w:color w:val="000000"/>
          <w:sz w:val="20"/>
          <w:szCs w:val="20"/>
        </w:rPr>
        <w:t xml:space="preserve">e-mail: </w:t>
      </w:r>
      <w:hyperlink r:id="rId10" w:history="1">
        <w:r w:rsidR="002A3294" w:rsidRPr="007A39B8">
          <w:rPr>
            <w:rStyle w:val="Hypertextovodkaz"/>
            <w:rFonts w:ascii="Arial" w:hAnsi="Arial" w:cs="Arial"/>
            <w:sz w:val="20"/>
            <w:szCs w:val="20"/>
          </w:rPr>
          <w:t>kamila.zitnakova@crestcom.cz</w:t>
        </w:r>
      </w:hyperlink>
    </w:p>
    <w:p w14:paraId="0C9BF7BF" w14:textId="77777777" w:rsidR="002A3294" w:rsidRDefault="002A3294" w:rsidP="007A39B8">
      <w:pPr>
        <w:spacing w:after="0" w:line="264" w:lineRule="auto"/>
        <w:rPr>
          <w:rStyle w:val="Hypertextovodkaz"/>
          <w:rFonts w:ascii="Arial" w:hAnsi="Arial" w:cs="Arial"/>
          <w:color w:val="990033"/>
          <w:sz w:val="20"/>
          <w:szCs w:val="20"/>
        </w:rPr>
      </w:pPr>
    </w:p>
    <w:p w14:paraId="02B11144" w14:textId="77777777" w:rsidR="007A39B8" w:rsidRPr="007A39B8" w:rsidRDefault="007A39B8" w:rsidP="007A39B8">
      <w:pPr>
        <w:spacing w:after="0" w:line="264" w:lineRule="auto"/>
        <w:rPr>
          <w:rStyle w:val="Hypertextovodkaz"/>
          <w:rFonts w:ascii="Arial" w:hAnsi="Arial" w:cs="Arial"/>
          <w:color w:val="990033"/>
          <w:sz w:val="20"/>
          <w:szCs w:val="20"/>
        </w:rPr>
      </w:pPr>
    </w:p>
    <w:p w14:paraId="11CCEE53" w14:textId="77777777" w:rsidR="005A2DC0" w:rsidRPr="007A39B8" w:rsidRDefault="00EB1C5A" w:rsidP="007A39B8">
      <w:pPr>
        <w:spacing w:after="0" w:line="264" w:lineRule="auto"/>
        <w:rPr>
          <w:rFonts w:ascii="Arial" w:hAnsi="Arial" w:cs="Arial"/>
          <w:sz w:val="20"/>
          <w:szCs w:val="20"/>
        </w:rPr>
      </w:pPr>
      <w:r w:rsidRPr="007A39B8">
        <w:rPr>
          <w:rFonts w:ascii="Arial" w:hAnsi="Arial" w:cs="Arial"/>
          <w:b/>
          <w:sz w:val="20"/>
          <w:szCs w:val="20"/>
        </w:rPr>
        <w:t>Informace pro editory:</w:t>
      </w:r>
    </w:p>
    <w:p w14:paraId="7DDF97E7" w14:textId="77777777" w:rsidR="005A2DC0" w:rsidRPr="007A39B8" w:rsidRDefault="005A2DC0" w:rsidP="007A39B8">
      <w:pPr>
        <w:pStyle w:val="F2-zkladn"/>
        <w:spacing w:before="0" w:line="264" w:lineRule="auto"/>
        <w:rPr>
          <w:b/>
        </w:rPr>
      </w:pPr>
    </w:p>
    <w:p w14:paraId="05D36A23" w14:textId="77777777" w:rsidR="00EB1C5A" w:rsidRDefault="00EB1C5A" w:rsidP="007A39B8">
      <w:pPr>
        <w:pStyle w:val="F2-zkladn"/>
        <w:spacing w:before="0" w:line="264" w:lineRule="auto"/>
      </w:pPr>
      <w:r w:rsidRPr="007A39B8">
        <w:t xml:space="preserve">Skupina </w:t>
      </w:r>
      <w:r w:rsidRPr="007A39B8">
        <w:rPr>
          <w:b/>
        </w:rPr>
        <w:t>TPA Group</w:t>
      </w:r>
      <w:r w:rsidRPr="007A39B8">
        <w:t xml:space="preserve"> poskytuje v České republice své služby od roku 1993 a působí celkem v</w:t>
      </w:r>
      <w:r w:rsidR="00483CC4" w:rsidRPr="007A39B8">
        <w:t>e dvanácti</w:t>
      </w:r>
      <w:r w:rsidRPr="007A39B8">
        <w:t xml:space="preserve"> zemích střední a jihovýchodní Evropy. </w:t>
      </w:r>
      <w:r w:rsidR="009B0DF4" w:rsidRPr="007A39B8">
        <w:t xml:space="preserve">Poskytuje služby zejména v oblastech daňově poradenství, vedení účetnictví, auditu, oceňování a poradenství při akvizicích. </w:t>
      </w:r>
      <w:r w:rsidRPr="007A39B8">
        <w:t xml:space="preserve"> Zaměřuje se především na korporátní klienty podnikající na mezinárodní úrovni v oblasti střední a jihovýchodní Evropy. Skupina TPA Group je nezávislým členem aliance</w:t>
      </w:r>
      <w:r w:rsidRPr="007A39B8">
        <w:rPr>
          <w:b/>
        </w:rPr>
        <w:t xml:space="preserve"> </w:t>
      </w:r>
      <w:proofErr w:type="spellStart"/>
      <w:r w:rsidRPr="007A39B8">
        <w:rPr>
          <w:b/>
        </w:rPr>
        <w:t>Baker</w:t>
      </w:r>
      <w:proofErr w:type="spellEnd"/>
      <w:r w:rsidRPr="007A39B8">
        <w:rPr>
          <w:b/>
        </w:rPr>
        <w:t xml:space="preserve"> </w:t>
      </w:r>
      <w:proofErr w:type="spellStart"/>
      <w:r w:rsidRPr="007A39B8">
        <w:rPr>
          <w:b/>
        </w:rPr>
        <w:t>Tilly</w:t>
      </w:r>
      <w:proofErr w:type="spellEnd"/>
      <w:r w:rsidRPr="007A39B8">
        <w:rPr>
          <w:b/>
        </w:rPr>
        <w:t xml:space="preserve"> </w:t>
      </w:r>
      <w:proofErr w:type="spellStart"/>
      <w:r w:rsidRPr="007A39B8">
        <w:rPr>
          <w:b/>
        </w:rPr>
        <w:t>Europe</w:t>
      </w:r>
      <w:proofErr w:type="spellEnd"/>
      <w:r w:rsidRPr="007A39B8">
        <w:rPr>
          <w:b/>
        </w:rPr>
        <w:t xml:space="preserve"> </w:t>
      </w:r>
      <w:proofErr w:type="spellStart"/>
      <w:r w:rsidRPr="007A39B8">
        <w:rPr>
          <w:b/>
        </w:rPr>
        <w:t>Alliance</w:t>
      </w:r>
      <w:proofErr w:type="spellEnd"/>
      <w:r w:rsidRPr="007A39B8">
        <w:t xml:space="preserve">, jejímiž dalšími členy je celosvětová poradenská síť </w:t>
      </w:r>
      <w:hyperlink r:id="rId11" w:history="1">
        <w:proofErr w:type="spellStart"/>
        <w:r w:rsidRPr="007A39B8">
          <w:rPr>
            <w:rStyle w:val="Hypertextovodkaz"/>
            <w:b/>
          </w:rPr>
          <w:t>Baker</w:t>
        </w:r>
        <w:proofErr w:type="spellEnd"/>
        <w:r w:rsidRPr="007A39B8">
          <w:rPr>
            <w:rStyle w:val="Hypertextovodkaz"/>
            <w:b/>
          </w:rPr>
          <w:t xml:space="preserve"> </w:t>
        </w:r>
        <w:proofErr w:type="spellStart"/>
        <w:r w:rsidRPr="007A39B8">
          <w:rPr>
            <w:rStyle w:val="Hypertextovodkaz"/>
            <w:b/>
          </w:rPr>
          <w:t>Tilly</w:t>
        </w:r>
        <w:proofErr w:type="spellEnd"/>
        <w:r w:rsidRPr="007A39B8">
          <w:rPr>
            <w:rStyle w:val="Hypertextovodkaz"/>
            <w:b/>
          </w:rPr>
          <w:t xml:space="preserve"> International</w:t>
        </w:r>
      </w:hyperlink>
      <w:r w:rsidRPr="007A39B8">
        <w:t xml:space="preserve"> a samostatný člen </w:t>
      </w:r>
      <w:proofErr w:type="spellStart"/>
      <w:r w:rsidRPr="007A39B8">
        <w:t>Baker</w:t>
      </w:r>
      <w:proofErr w:type="spellEnd"/>
      <w:r w:rsidRPr="007A39B8">
        <w:t xml:space="preserve"> </w:t>
      </w:r>
      <w:proofErr w:type="spellStart"/>
      <w:r w:rsidRPr="007A39B8">
        <w:t>Tilly</w:t>
      </w:r>
      <w:proofErr w:type="spellEnd"/>
      <w:r w:rsidRPr="007A39B8">
        <w:t xml:space="preserve"> International, </w:t>
      </w:r>
      <w:hyperlink r:id="rId12" w:history="1">
        <w:proofErr w:type="spellStart"/>
        <w:r w:rsidR="00433B9A" w:rsidRPr="007A39B8">
          <w:rPr>
            <w:rStyle w:val="Hypertextovodkaz"/>
            <w:b/>
          </w:rPr>
          <w:t>Baker</w:t>
        </w:r>
        <w:proofErr w:type="spellEnd"/>
        <w:r w:rsidR="00433B9A" w:rsidRPr="007A39B8">
          <w:rPr>
            <w:rStyle w:val="Hypertextovodkaz"/>
            <w:b/>
          </w:rPr>
          <w:t xml:space="preserve"> </w:t>
        </w:r>
        <w:proofErr w:type="spellStart"/>
        <w:r w:rsidR="00433B9A" w:rsidRPr="007A39B8">
          <w:rPr>
            <w:rStyle w:val="Hypertextovodkaz"/>
            <w:b/>
          </w:rPr>
          <w:t>Tilly</w:t>
        </w:r>
        <w:proofErr w:type="spellEnd"/>
      </w:hyperlink>
      <w:r w:rsidRPr="007A39B8">
        <w:t xml:space="preserve"> v Německu. Díky členství v </w:t>
      </w:r>
      <w:proofErr w:type="spellStart"/>
      <w:r w:rsidRPr="007A39B8">
        <w:t>Baker</w:t>
      </w:r>
      <w:proofErr w:type="spellEnd"/>
      <w:r w:rsidRPr="007A39B8">
        <w:t xml:space="preserve"> </w:t>
      </w:r>
      <w:proofErr w:type="spellStart"/>
      <w:r w:rsidRPr="007A39B8">
        <w:t>Tilly</w:t>
      </w:r>
      <w:proofErr w:type="spellEnd"/>
      <w:r w:rsidRPr="007A39B8">
        <w:t xml:space="preserve"> </w:t>
      </w:r>
      <w:proofErr w:type="spellStart"/>
      <w:r w:rsidRPr="007A39B8">
        <w:t>Europe</w:t>
      </w:r>
      <w:proofErr w:type="spellEnd"/>
      <w:r w:rsidRPr="007A39B8">
        <w:t xml:space="preserve"> </w:t>
      </w:r>
      <w:proofErr w:type="spellStart"/>
      <w:r w:rsidRPr="007A39B8">
        <w:t>Allience</w:t>
      </w:r>
      <w:proofErr w:type="spellEnd"/>
      <w:r w:rsidRPr="007A39B8">
        <w:t xml:space="preserve"> nabízí skupina TPA Group svým klientům služby globální sítě </w:t>
      </w:r>
      <w:proofErr w:type="spellStart"/>
      <w:r w:rsidRPr="007A39B8">
        <w:t>Baker</w:t>
      </w:r>
      <w:proofErr w:type="spellEnd"/>
      <w:r w:rsidRPr="007A39B8">
        <w:t xml:space="preserve"> </w:t>
      </w:r>
      <w:proofErr w:type="spellStart"/>
      <w:r w:rsidRPr="007A39B8">
        <w:t>Tilly</w:t>
      </w:r>
      <w:proofErr w:type="spellEnd"/>
      <w:r w:rsidRPr="007A39B8">
        <w:t xml:space="preserve"> International, která patří do první desítky celosvětových poradenských sítí. </w:t>
      </w:r>
    </w:p>
    <w:p w14:paraId="24B4D0B6" w14:textId="77777777" w:rsidR="00BA2004" w:rsidRPr="007A39B8" w:rsidRDefault="00BA2004" w:rsidP="007A39B8">
      <w:pPr>
        <w:pStyle w:val="F2-zkladn"/>
        <w:spacing w:before="0" w:line="264" w:lineRule="auto"/>
      </w:pPr>
    </w:p>
    <w:p w14:paraId="1A9B85E0" w14:textId="01DD576C" w:rsidR="001272D9" w:rsidRDefault="001272D9"/>
    <w:sectPr w:rsidR="001272D9" w:rsidSect="00FD0701">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417" w:right="1417" w:bottom="1417" w:left="1417" w:header="16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F9990" w14:textId="77777777" w:rsidR="00A838DD" w:rsidRDefault="00A838DD" w:rsidP="00087B0F">
      <w:pPr>
        <w:spacing w:after="0" w:line="240" w:lineRule="auto"/>
      </w:pPr>
      <w:r>
        <w:separator/>
      </w:r>
    </w:p>
  </w:endnote>
  <w:endnote w:type="continuationSeparator" w:id="0">
    <w:p w14:paraId="611F7B5A" w14:textId="77777777" w:rsidR="00A838DD" w:rsidRDefault="00A838DD" w:rsidP="0008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4C443" w14:textId="77777777" w:rsidR="00A71FE0" w:rsidRDefault="00A71FE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E5DD5" w14:textId="77777777" w:rsidR="00A71FE0" w:rsidRDefault="00A71FE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B939D" w14:textId="77777777" w:rsidR="00A71FE0" w:rsidRDefault="00A71FE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62021" w14:textId="77777777" w:rsidR="00A838DD" w:rsidRDefault="00A838DD" w:rsidP="00087B0F">
      <w:pPr>
        <w:spacing w:after="0" w:line="240" w:lineRule="auto"/>
      </w:pPr>
      <w:r>
        <w:separator/>
      </w:r>
    </w:p>
  </w:footnote>
  <w:footnote w:type="continuationSeparator" w:id="0">
    <w:p w14:paraId="64599E17" w14:textId="77777777" w:rsidR="00A838DD" w:rsidRDefault="00A838DD" w:rsidP="00087B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97B2" w14:textId="77777777" w:rsidR="00A71FE0" w:rsidRDefault="00A71FE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4D380" w14:textId="77777777" w:rsidR="00704800" w:rsidRDefault="004432AB">
    <w:pPr>
      <w:pStyle w:val="Zhlav"/>
    </w:pPr>
    <w:r>
      <w:rPr>
        <w:noProof/>
        <w:lang w:eastAsia="cs-CZ"/>
      </w:rPr>
      <w:drawing>
        <wp:anchor distT="0" distB="0" distL="114300" distR="114300" simplePos="0" relativeHeight="251657728" behindDoc="0" locked="0" layoutInCell="1" allowOverlap="1" wp14:anchorId="07FBAF7B" wp14:editId="5D87AFFD">
          <wp:simplePos x="0" y="0"/>
          <wp:positionH relativeFrom="margin">
            <wp:posOffset>4303395</wp:posOffset>
          </wp:positionH>
          <wp:positionV relativeFrom="margin">
            <wp:posOffset>-1171575</wp:posOffset>
          </wp:positionV>
          <wp:extent cx="1490980" cy="110998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5BE73" w14:textId="77777777" w:rsidR="00A71FE0" w:rsidRDefault="00A71FE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0F"/>
    <w:rsid w:val="000021A3"/>
    <w:rsid w:val="00006A99"/>
    <w:rsid w:val="00021254"/>
    <w:rsid w:val="00024EB1"/>
    <w:rsid w:val="00034EAB"/>
    <w:rsid w:val="000474F2"/>
    <w:rsid w:val="0005087E"/>
    <w:rsid w:val="00056B71"/>
    <w:rsid w:val="00065420"/>
    <w:rsid w:val="00072CA9"/>
    <w:rsid w:val="00087B0F"/>
    <w:rsid w:val="000A2944"/>
    <w:rsid w:val="000B1F52"/>
    <w:rsid w:val="000F648D"/>
    <w:rsid w:val="00117F01"/>
    <w:rsid w:val="001272D9"/>
    <w:rsid w:val="001349D3"/>
    <w:rsid w:val="00147AAD"/>
    <w:rsid w:val="001514D6"/>
    <w:rsid w:val="001557E7"/>
    <w:rsid w:val="00163F37"/>
    <w:rsid w:val="001643CE"/>
    <w:rsid w:val="001665B3"/>
    <w:rsid w:val="0017348B"/>
    <w:rsid w:val="001833EC"/>
    <w:rsid w:val="00190F27"/>
    <w:rsid w:val="001B248E"/>
    <w:rsid w:val="001C0CE4"/>
    <w:rsid w:val="001F387C"/>
    <w:rsid w:val="001F501D"/>
    <w:rsid w:val="002212EA"/>
    <w:rsid w:val="0022496F"/>
    <w:rsid w:val="00225EE1"/>
    <w:rsid w:val="00232D8F"/>
    <w:rsid w:val="00236F79"/>
    <w:rsid w:val="002467AC"/>
    <w:rsid w:val="002468A7"/>
    <w:rsid w:val="0025133B"/>
    <w:rsid w:val="0027105E"/>
    <w:rsid w:val="00280E19"/>
    <w:rsid w:val="002948D0"/>
    <w:rsid w:val="002A3294"/>
    <w:rsid w:val="002A7D37"/>
    <w:rsid w:val="002D4C48"/>
    <w:rsid w:val="002E3827"/>
    <w:rsid w:val="002E39E1"/>
    <w:rsid w:val="00302ABC"/>
    <w:rsid w:val="0030704F"/>
    <w:rsid w:val="00307CBB"/>
    <w:rsid w:val="00307EBA"/>
    <w:rsid w:val="003143B9"/>
    <w:rsid w:val="00316D20"/>
    <w:rsid w:val="003371D5"/>
    <w:rsid w:val="00343B85"/>
    <w:rsid w:val="00381597"/>
    <w:rsid w:val="00381A9C"/>
    <w:rsid w:val="00385385"/>
    <w:rsid w:val="003916F2"/>
    <w:rsid w:val="003B5AE8"/>
    <w:rsid w:val="003D33AF"/>
    <w:rsid w:val="003D5F96"/>
    <w:rsid w:val="003E3455"/>
    <w:rsid w:val="004010C0"/>
    <w:rsid w:val="00410BBE"/>
    <w:rsid w:val="00414BA1"/>
    <w:rsid w:val="00415AAB"/>
    <w:rsid w:val="004321DB"/>
    <w:rsid w:val="00433B9A"/>
    <w:rsid w:val="004432AB"/>
    <w:rsid w:val="00461F74"/>
    <w:rsid w:val="00474216"/>
    <w:rsid w:val="00483CC4"/>
    <w:rsid w:val="00494A82"/>
    <w:rsid w:val="00494D1A"/>
    <w:rsid w:val="004B5F23"/>
    <w:rsid w:val="004C261B"/>
    <w:rsid w:val="004D4BBC"/>
    <w:rsid w:val="004E2B60"/>
    <w:rsid w:val="004F1F03"/>
    <w:rsid w:val="00501B48"/>
    <w:rsid w:val="0051646C"/>
    <w:rsid w:val="005318CD"/>
    <w:rsid w:val="0053615C"/>
    <w:rsid w:val="005500FE"/>
    <w:rsid w:val="005732EB"/>
    <w:rsid w:val="005744B2"/>
    <w:rsid w:val="00590F8E"/>
    <w:rsid w:val="005A2487"/>
    <w:rsid w:val="005A2DC0"/>
    <w:rsid w:val="005F3048"/>
    <w:rsid w:val="006271A1"/>
    <w:rsid w:val="00643BFA"/>
    <w:rsid w:val="00650005"/>
    <w:rsid w:val="00667056"/>
    <w:rsid w:val="00674C24"/>
    <w:rsid w:val="00677F43"/>
    <w:rsid w:val="006A30CE"/>
    <w:rsid w:val="006A5EE0"/>
    <w:rsid w:val="006A65B5"/>
    <w:rsid w:val="006A7542"/>
    <w:rsid w:val="006B531A"/>
    <w:rsid w:val="006D4648"/>
    <w:rsid w:val="006D4B45"/>
    <w:rsid w:val="006D7CBC"/>
    <w:rsid w:val="006E6C5B"/>
    <w:rsid w:val="006F03A6"/>
    <w:rsid w:val="006F39F5"/>
    <w:rsid w:val="00701C2B"/>
    <w:rsid w:val="00704800"/>
    <w:rsid w:val="00732B15"/>
    <w:rsid w:val="00734F7E"/>
    <w:rsid w:val="00735B2F"/>
    <w:rsid w:val="0075184E"/>
    <w:rsid w:val="00756665"/>
    <w:rsid w:val="00764026"/>
    <w:rsid w:val="0078416F"/>
    <w:rsid w:val="00784698"/>
    <w:rsid w:val="00792360"/>
    <w:rsid w:val="007A39B8"/>
    <w:rsid w:val="007B4CB7"/>
    <w:rsid w:val="007B5B26"/>
    <w:rsid w:val="007B5F1E"/>
    <w:rsid w:val="007C65E0"/>
    <w:rsid w:val="007C74F1"/>
    <w:rsid w:val="007D4CFC"/>
    <w:rsid w:val="007E1A19"/>
    <w:rsid w:val="007F18A5"/>
    <w:rsid w:val="008005C7"/>
    <w:rsid w:val="00820D1C"/>
    <w:rsid w:val="00876D5F"/>
    <w:rsid w:val="008A1C69"/>
    <w:rsid w:val="008A6922"/>
    <w:rsid w:val="008B71E2"/>
    <w:rsid w:val="008C35C6"/>
    <w:rsid w:val="008D2CED"/>
    <w:rsid w:val="008D30B5"/>
    <w:rsid w:val="008E0CBB"/>
    <w:rsid w:val="00911D3B"/>
    <w:rsid w:val="009312EA"/>
    <w:rsid w:val="0094373B"/>
    <w:rsid w:val="009448BF"/>
    <w:rsid w:val="00965886"/>
    <w:rsid w:val="00965982"/>
    <w:rsid w:val="00976D76"/>
    <w:rsid w:val="0097794D"/>
    <w:rsid w:val="0099767A"/>
    <w:rsid w:val="00997BD4"/>
    <w:rsid w:val="009A0B16"/>
    <w:rsid w:val="009B0DF4"/>
    <w:rsid w:val="009C2E69"/>
    <w:rsid w:val="009D2495"/>
    <w:rsid w:val="009D409F"/>
    <w:rsid w:val="009D7BD7"/>
    <w:rsid w:val="009F5D62"/>
    <w:rsid w:val="009F6061"/>
    <w:rsid w:val="00A03AEB"/>
    <w:rsid w:val="00A334D2"/>
    <w:rsid w:val="00A71FE0"/>
    <w:rsid w:val="00A74319"/>
    <w:rsid w:val="00A75E11"/>
    <w:rsid w:val="00A77597"/>
    <w:rsid w:val="00A838DD"/>
    <w:rsid w:val="00AA1EC4"/>
    <w:rsid w:val="00AA2DB4"/>
    <w:rsid w:val="00AB61D5"/>
    <w:rsid w:val="00AD0D2A"/>
    <w:rsid w:val="00AD4861"/>
    <w:rsid w:val="00AD6570"/>
    <w:rsid w:val="00AE3FEF"/>
    <w:rsid w:val="00AF63E5"/>
    <w:rsid w:val="00B121F9"/>
    <w:rsid w:val="00B17834"/>
    <w:rsid w:val="00B47281"/>
    <w:rsid w:val="00B66D84"/>
    <w:rsid w:val="00BA2004"/>
    <w:rsid w:val="00BA7058"/>
    <w:rsid w:val="00BB2F4F"/>
    <w:rsid w:val="00BC4A3D"/>
    <w:rsid w:val="00BD2839"/>
    <w:rsid w:val="00BE16A9"/>
    <w:rsid w:val="00BE714B"/>
    <w:rsid w:val="00BF7D01"/>
    <w:rsid w:val="00C27561"/>
    <w:rsid w:val="00C43F8F"/>
    <w:rsid w:val="00C64D57"/>
    <w:rsid w:val="00CC1656"/>
    <w:rsid w:val="00CD0F82"/>
    <w:rsid w:val="00CD249C"/>
    <w:rsid w:val="00D01576"/>
    <w:rsid w:val="00D04011"/>
    <w:rsid w:val="00D0530A"/>
    <w:rsid w:val="00D23939"/>
    <w:rsid w:val="00D26944"/>
    <w:rsid w:val="00D4284D"/>
    <w:rsid w:val="00D54029"/>
    <w:rsid w:val="00D579C4"/>
    <w:rsid w:val="00D67270"/>
    <w:rsid w:val="00D72C84"/>
    <w:rsid w:val="00D73B92"/>
    <w:rsid w:val="00D74683"/>
    <w:rsid w:val="00D93651"/>
    <w:rsid w:val="00DA18DA"/>
    <w:rsid w:val="00DB6D1B"/>
    <w:rsid w:val="00DC112F"/>
    <w:rsid w:val="00DC66EC"/>
    <w:rsid w:val="00DD06BF"/>
    <w:rsid w:val="00DF5919"/>
    <w:rsid w:val="00DF7E3A"/>
    <w:rsid w:val="00E20A11"/>
    <w:rsid w:val="00E30CAC"/>
    <w:rsid w:val="00E5059E"/>
    <w:rsid w:val="00E53826"/>
    <w:rsid w:val="00E62DFE"/>
    <w:rsid w:val="00E76E54"/>
    <w:rsid w:val="00E9566A"/>
    <w:rsid w:val="00E97493"/>
    <w:rsid w:val="00EA436F"/>
    <w:rsid w:val="00EB1C5A"/>
    <w:rsid w:val="00EC7F72"/>
    <w:rsid w:val="00ED4CF4"/>
    <w:rsid w:val="00F00E13"/>
    <w:rsid w:val="00F230EE"/>
    <w:rsid w:val="00F32BD2"/>
    <w:rsid w:val="00F41FA0"/>
    <w:rsid w:val="00F80911"/>
    <w:rsid w:val="00FD0701"/>
    <w:rsid w:val="00FE255D"/>
    <w:rsid w:val="0239750A"/>
    <w:rsid w:val="024FA9DA"/>
    <w:rsid w:val="026A6F84"/>
    <w:rsid w:val="02C5C4BA"/>
    <w:rsid w:val="039DD79F"/>
    <w:rsid w:val="03CB2327"/>
    <w:rsid w:val="04063FE5"/>
    <w:rsid w:val="044554D7"/>
    <w:rsid w:val="061501E2"/>
    <w:rsid w:val="06AE04F5"/>
    <w:rsid w:val="06D76539"/>
    <w:rsid w:val="06DC7D90"/>
    <w:rsid w:val="0702C3E9"/>
    <w:rsid w:val="07130723"/>
    <w:rsid w:val="08049A85"/>
    <w:rsid w:val="0A046E03"/>
    <w:rsid w:val="0A516C91"/>
    <w:rsid w:val="0A56F19F"/>
    <w:rsid w:val="0B427BBE"/>
    <w:rsid w:val="0C2C7BDA"/>
    <w:rsid w:val="0CF067FA"/>
    <w:rsid w:val="0D23EB31"/>
    <w:rsid w:val="0D85A985"/>
    <w:rsid w:val="0D890D53"/>
    <w:rsid w:val="0D8E9261"/>
    <w:rsid w:val="0DA10B06"/>
    <w:rsid w:val="0DB0DAD7"/>
    <w:rsid w:val="0F24DDB4"/>
    <w:rsid w:val="11323DC9"/>
    <w:rsid w:val="11C053D4"/>
    <w:rsid w:val="11E3B63F"/>
    <w:rsid w:val="133C96C0"/>
    <w:rsid w:val="137F86A0"/>
    <w:rsid w:val="13F663EB"/>
    <w:rsid w:val="14920391"/>
    <w:rsid w:val="1498C807"/>
    <w:rsid w:val="149E408F"/>
    <w:rsid w:val="151B5701"/>
    <w:rsid w:val="158504D8"/>
    <w:rsid w:val="15861CC3"/>
    <w:rsid w:val="1597C8AE"/>
    <w:rsid w:val="15CB354F"/>
    <w:rsid w:val="1619BCF7"/>
    <w:rsid w:val="1624654F"/>
    <w:rsid w:val="16B72762"/>
    <w:rsid w:val="17925970"/>
    <w:rsid w:val="1A09D6B1"/>
    <w:rsid w:val="1CFD05CD"/>
    <w:rsid w:val="1E91ED59"/>
    <w:rsid w:val="1FCF06F6"/>
    <w:rsid w:val="20676E1F"/>
    <w:rsid w:val="2081DB9E"/>
    <w:rsid w:val="213A9D77"/>
    <w:rsid w:val="21B6F183"/>
    <w:rsid w:val="21D220E9"/>
    <w:rsid w:val="2559AC75"/>
    <w:rsid w:val="25D060C8"/>
    <w:rsid w:val="25E70183"/>
    <w:rsid w:val="269E9D6D"/>
    <w:rsid w:val="26F0473F"/>
    <w:rsid w:val="27B88392"/>
    <w:rsid w:val="2808C856"/>
    <w:rsid w:val="28468436"/>
    <w:rsid w:val="2A27E801"/>
    <w:rsid w:val="2AB0D8C5"/>
    <w:rsid w:val="2BA37ED6"/>
    <w:rsid w:val="2BC3B862"/>
    <w:rsid w:val="2BCA5C77"/>
    <w:rsid w:val="2D3F4F37"/>
    <w:rsid w:val="2DF35B6A"/>
    <w:rsid w:val="2EBA6F57"/>
    <w:rsid w:val="2F90391C"/>
    <w:rsid w:val="3211BBAF"/>
    <w:rsid w:val="33576D49"/>
    <w:rsid w:val="338F62FE"/>
    <w:rsid w:val="368BE702"/>
    <w:rsid w:val="36C5D1A3"/>
    <w:rsid w:val="37EA4696"/>
    <w:rsid w:val="37F82A2B"/>
    <w:rsid w:val="3827B763"/>
    <w:rsid w:val="383903CB"/>
    <w:rsid w:val="38785213"/>
    <w:rsid w:val="39DA8FAA"/>
    <w:rsid w:val="3AC8D2A1"/>
    <w:rsid w:val="3DB991FF"/>
    <w:rsid w:val="3F2C8302"/>
    <w:rsid w:val="3F9D8B55"/>
    <w:rsid w:val="40E08CF3"/>
    <w:rsid w:val="41D101FA"/>
    <w:rsid w:val="423EC8DD"/>
    <w:rsid w:val="42F2394B"/>
    <w:rsid w:val="4301EB23"/>
    <w:rsid w:val="435F4054"/>
    <w:rsid w:val="43D3917C"/>
    <w:rsid w:val="449DBB84"/>
    <w:rsid w:val="456239FE"/>
    <w:rsid w:val="45A79B91"/>
    <w:rsid w:val="48A55F41"/>
    <w:rsid w:val="4AC1D451"/>
    <w:rsid w:val="4BE28462"/>
    <w:rsid w:val="4D4FA171"/>
    <w:rsid w:val="4E71413D"/>
    <w:rsid w:val="4F582A0F"/>
    <w:rsid w:val="50519165"/>
    <w:rsid w:val="507DE2B2"/>
    <w:rsid w:val="509F80CC"/>
    <w:rsid w:val="50B2ABFC"/>
    <w:rsid w:val="5184E352"/>
    <w:rsid w:val="5219B313"/>
    <w:rsid w:val="5239B5B1"/>
    <w:rsid w:val="52E14C6A"/>
    <w:rsid w:val="5365FA19"/>
    <w:rsid w:val="54C14231"/>
    <w:rsid w:val="55517EB9"/>
    <w:rsid w:val="57025B1C"/>
    <w:rsid w:val="574DCD63"/>
    <w:rsid w:val="58803E62"/>
    <w:rsid w:val="5948F6BA"/>
    <w:rsid w:val="595CF70E"/>
    <w:rsid w:val="59BEF68A"/>
    <w:rsid w:val="5B0BF1AE"/>
    <w:rsid w:val="5C12BFD7"/>
    <w:rsid w:val="5CF2FB64"/>
    <w:rsid w:val="5DABD8EA"/>
    <w:rsid w:val="5DDCD4EF"/>
    <w:rsid w:val="5F22C876"/>
    <w:rsid w:val="5F4262A1"/>
    <w:rsid w:val="5F96C9E2"/>
    <w:rsid w:val="603620A7"/>
    <w:rsid w:val="614198F8"/>
    <w:rsid w:val="616E8CBA"/>
    <w:rsid w:val="625BE913"/>
    <w:rsid w:val="6716E0B7"/>
    <w:rsid w:val="67E21DEA"/>
    <w:rsid w:val="68B2B118"/>
    <w:rsid w:val="69249BAF"/>
    <w:rsid w:val="69338280"/>
    <w:rsid w:val="6AC5F9FD"/>
    <w:rsid w:val="6AE677CF"/>
    <w:rsid w:val="6BD301EF"/>
    <w:rsid w:val="6BD7B542"/>
    <w:rsid w:val="6C9011C9"/>
    <w:rsid w:val="6CBDCFBB"/>
    <w:rsid w:val="6D1443EB"/>
    <w:rsid w:val="6D44F48A"/>
    <w:rsid w:val="6E1A5989"/>
    <w:rsid w:val="6EDA87A2"/>
    <w:rsid w:val="6F1B5F1C"/>
    <w:rsid w:val="714D0E33"/>
    <w:rsid w:val="7340AE06"/>
    <w:rsid w:val="74A41C1E"/>
    <w:rsid w:val="74F16EB6"/>
    <w:rsid w:val="75780BC3"/>
    <w:rsid w:val="75C757B5"/>
    <w:rsid w:val="76A26285"/>
    <w:rsid w:val="77751B1B"/>
    <w:rsid w:val="77E7BF1A"/>
    <w:rsid w:val="789DD256"/>
    <w:rsid w:val="7A56B738"/>
    <w:rsid w:val="7A9EC4E7"/>
    <w:rsid w:val="7B3394A8"/>
    <w:rsid w:val="7B72F05E"/>
    <w:rsid w:val="7C13742E"/>
    <w:rsid w:val="7C25CE9C"/>
    <w:rsid w:val="7CF1D2AA"/>
    <w:rsid w:val="7DA8AFEC"/>
    <w:rsid w:val="7EEC21A4"/>
    <w:rsid w:val="7EF7B203"/>
    <w:rsid w:val="7FA497D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8A7B5"/>
  <w15:chartTrackingRefBased/>
  <w15:docId w15:val="{CB94C65A-AEAA-42C2-B1E6-20340A8E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7B0F"/>
    <w:pPr>
      <w:tabs>
        <w:tab w:val="center" w:pos="4536"/>
        <w:tab w:val="right" w:pos="9072"/>
      </w:tabs>
    </w:pPr>
  </w:style>
  <w:style w:type="character" w:customStyle="1" w:styleId="ZhlavChar">
    <w:name w:val="Záhlaví Char"/>
    <w:link w:val="Zhlav"/>
    <w:uiPriority w:val="99"/>
    <w:rsid w:val="00087B0F"/>
    <w:rPr>
      <w:sz w:val="22"/>
      <w:szCs w:val="22"/>
      <w:lang w:eastAsia="en-US"/>
    </w:rPr>
  </w:style>
  <w:style w:type="paragraph" w:styleId="Zpat">
    <w:name w:val="footer"/>
    <w:basedOn w:val="Normln"/>
    <w:link w:val="ZpatChar"/>
    <w:uiPriority w:val="99"/>
    <w:unhideWhenUsed/>
    <w:rsid w:val="00087B0F"/>
    <w:pPr>
      <w:tabs>
        <w:tab w:val="center" w:pos="4536"/>
        <w:tab w:val="right" w:pos="9072"/>
      </w:tabs>
    </w:pPr>
  </w:style>
  <w:style w:type="character" w:customStyle="1" w:styleId="ZpatChar">
    <w:name w:val="Zápatí Char"/>
    <w:link w:val="Zpat"/>
    <w:uiPriority w:val="99"/>
    <w:rsid w:val="00087B0F"/>
    <w:rPr>
      <w:sz w:val="22"/>
      <w:szCs w:val="22"/>
      <w:lang w:eastAsia="en-US"/>
    </w:rPr>
  </w:style>
  <w:style w:type="paragraph" w:customStyle="1" w:styleId="F2-zkladn">
    <w:name w:val="F2 - základní"/>
    <w:link w:val="F2-zkladnCharChar"/>
    <w:rsid w:val="00EB1C5A"/>
    <w:pPr>
      <w:spacing w:before="240" w:line="300" w:lineRule="exact"/>
      <w:jc w:val="both"/>
    </w:pPr>
    <w:rPr>
      <w:rFonts w:ascii="Arial" w:eastAsia="Times New Roman" w:hAnsi="Arial" w:cs="Arial"/>
      <w:lang w:eastAsia="cs-CZ"/>
    </w:rPr>
  </w:style>
  <w:style w:type="character" w:styleId="Hypertextovodkaz">
    <w:name w:val="Hyperlink"/>
    <w:semiHidden/>
    <w:rsid w:val="00EB1C5A"/>
    <w:rPr>
      <w:color w:val="0000FF"/>
      <w:u w:val="single"/>
    </w:rPr>
  </w:style>
  <w:style w:type="character" w:customStyle="1" w:styleId="F2-zkladnCharChar">
    <w:name w:val="F2 - základní Char Char"/>
    <w:link w:val="F2-zkladn"/>
    <w:rsid w:val="00EB1C5A"/>
    <w:rPr>
      <w:rFonts w:ascii="Arial" w:eastAsia="Times New Roman" w:hAnsi="Arial" w:cs="Arial"/>
    </w:rPr>
  </w:style>
  <w:style w:type="character" w:styleId="Odkaznakoment">
    <w:name w:val="annotation reference"/>
    <w:uiPriority w:val="99"/>
    <w:semiHidden/>
    <w:unhideWhenUsed/>
    <w:rsid w:val="00BC4A3D"/>
    <w:rPr>
      <w:sz w:val="16"/>
      <w:szCs w:val="16"/>
    </w:rPr>
  </w:style>
  <w:style w:type="paragraph" w:styleId="Textkomente">
    <w:name w:val="annotation text"/>
    <w:basedOn w:val="Normln"/>
    <w:link w:val="TextkomenteChar"/>
    <w:uiPriority w:val="99"/>
    <w:unhideWhenUsed/>
    <w:rsid w:val="00BC4A3D"/>
    <w:rPr>
      <w:sz w:val="20"/>
      <w:szCs w:val="20"/>
    </w:rPr>
  </w:style>
  <w:style w:type="character" w:customStyle="1" w:styleId="TextkomenteChar">
    <w:name w:val="Text komentáře Char"/>
    <w:link w:val="Textkomente"/>
    <w:uiPriority w:val="99"/>
    <w:rsid w:val="00BC4A3D"/>
    <w:rPr>
      <w:lang w:eastAsia="en-US"/>
    </w:rPr>
  </w:style>
  <w:style w:type="paragraph" w:styleId="Pedmtkomente">
    <w:name w:val="annotation subject"/>
    <w:basedOn w:val="Textkomente"/>
    <w:next w:val="Textkomente"/>
    <w:link w:val="PedmtkomenteChar"/>
    <w:uiPriority w:val="99"/>
    <w:semiHidden/>
    <w:unhideWhenUsed/>
    <w:rsid w:val="00BC4A3D"/>
    <w:rPr>
      <w:b/>
      <w:bCs/>
    </w:rPr>
  </w:style>
  <w:style w:type="character" w:customStyle="1" w:styleId="PedmtkomenteChar">
    <w:name w:val="Předmět komentáře Char"/>
    <w:link w:val="Pedmtkomente"/>
    <w:uiPriority w:val="99"/>
    <w:semiHidden/>
    <w:rsid w:val="00BC4A3D"/>
    <w:rPr>
      <w:b/>
      <w:bCs/>
      <w:lang w:eastAsia="en-US"/>
    </w:rPr>
  </w:style>
  <w:style w:type="paragraph" w:styleId="Textbubliny">
    <w:name w:val="Balloon Text"/>
    <w:basedOn w:val="Normln"/>
    <w:link w:val="TextbublinyChar"/>
    <w:uiPriority w:val="99"/>
    <w:semiHidden/>
    <w:unhideWhenUsed/>
    <w:rsid w:val="00BC4A3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C4A3D"/>
    <w:rPr>
      <w:rFonts w:ascii="Segoe UI" w:hAnsi="Segoe UI" w:cs="Segoe UI"/>
      <w:sz w:val="18"/>
      <w:szCs w:val="18"/>
      <w:lang w:eastAsia="en-US"/>
    </w:rPr>
  </w:style>
  <w:style w:type="paragraph" w:styleId="Revize">
    <w:name w:val="Revision"/>
    <w:hidden/>
    <w:uiPriority w:val="99"/>
    <w:semiHidden/>
    <w:rsid w:val="00BC4A3D"/>
    <w:rPr>
      <w:sz w:val="22"/>
      <w:szCs w:val="22"/>
      <w:lang w:eastAsia="en-US"/>
    </w:rPr>
  </w:style>
  <w:style w:type="paragraph" w:customStyle="1" w:styleId="Default">
    <w:name w:val="Default"/>
    <w:rsid w:val="00024EB1"/>
    <w:pPr>
      <w:autoSpaceDE w:val="0"/>
      <w:autoSpaceDN w:val="0"/>
      <w:adjustRightInd w:val="0"/>
    </w:pPr>
    <w:rPr>
      <w:rFonts w:ascii="Arial" w:eastAsiaTheme="minorHAnsi" w:hAnsi="Arial" w:cs="Arial"/>
      <w:color w:val="000000"/>
      <w:sz w:val="24"/>
      <w:szCs w:val="24"/>
      <w:lang w:eastAsia="en-US"/>
    </w:rPr>
  </w:style>
  <w:style w:type="paragraph" w:styleId="Textvysvtlivek">
    <w:name w:val="endnote text"/>
    <w:basedOn w:val="Normln"/>
    <w:link w:val="TextvysvtlivekChar"/>
    <w:uiPriority w:val="99"/>
    <w:semiHidden/>
    <w:unhideWhenUsed/>
    <w:rsid w:val="002468A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2468A7"/>
    <w:rPr>
      <w:lang w:eastAsia="en-US"/>
    </w:rPr>
  </w:style>
  <w:style w:type="character" w:styleId="Odkaznavysvtlivky">
    <w:name w:val="endnote reference"/>
    <w:basedOn w:val="Standardnpsmoodstavce"/>
    <w:uiPriority w:val="99"/>
    <w:semiHidden/>
    <w:unhideWhenUsed/>
    <w:rsid w:val="002468A7"/>
    <w:rPr>
      <w:vertAlign w:val="superscript"/>
    </w:rPr>
  </w:style>
  <w:style w:type="paragraph" w:styleId="Textpoznpodarou">
    <w:name w:val="footnote text"/>
    <w:basedOn w:val="Normln"/>
    <w:link w:val="TextpoznpodarouChar"/>
    <w:uiPriority w:val="99"/>
    <w:semiHidden/>
    <w:unhideWhenUsed/>
    <w:rsid w:val="006B53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B531A"/>
    <w:rPr>
      <w:lang w:eastAsia="en-US"/>
    </w:rPr>
  </w:style>
  <w:style w:type="character" w:styleId="Znakapoznpodarou">
    <w:name w:val="footnote reference"/>
    <w:basedOn w:val="Standardnpsmoodstavce"/>
    <w:uiPriority w:val="99"/>
    <w:semiHidden/>
    <w:unhideWhenUsed/>
    <w:rsid w:val="006B531A"/>
    <w:rPr>
      <w:vertAlign w:val="superscript"/>
    </w:rPr>
  </w:style>
  <w:style w:type="character" w:styleId="Nevyeenzmnka">
    <w:name w:val="Unresolved Mention"/>
    <w:basedOn w:val="Standardnpsmoodstavce"/>
    <w:uiPriority w:val="99"/>
    <w:semiHidden/>
    <w:unhideWhenUsed/>
    <w:rsid w:val="002A3294"/>
    <w:rPr>
      <w:color w:val="605E5C"/>
      <w:shd w:val="clear" w:color="auto" w:fill="E1DFDD"/>
    </w:rPr>
  </w:style>
  <w:style w:type="paragraph" w:styleId="Normlnweb">
    <w:name w:val="Normal (Web)"/>
    <w:basedOn w:val="Normln"/>
    <w:uiPriority w:val="99"/>
    <w:semiHidden/>
    <w:unhideWhenUsed/>
    <w:rsid w:val="00ED4CF4"/>
    <w:pPr>
      <w:spacing w:before="100" w:beforeAutospacing="1" w:after="100" w:afterAutospacing="1" w:line="240" w:lineRule="auto"/>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6880">
      <w:bodyDiv w:val="1"/>
      <w:marLeft w:val="0"/>
      <w:marRight w:val="0"/>
      <w:marTop w:val="0"/>
      <w:marBottom w:val="0"/>
      <w:divBdr>
        <w:top w:val="none" w:sz="0" w:space="0" w:color="auto"/>
        <w:left w:val="none" w:sz="0" w:space="0" w:color="auto"/>
        <w:bottom w:val="none" w:sz="0" w:space="0" w:color="auto"/>
        <w:right w:val="none" w:sz="0" w:space="0" w:color="auto"/>
      </w:divBdr>
    </w:div>
    <w:div w:id="58289220">
      <w:bodyDiv w:val="1"/>
      <w:marLeft w:val="0"/>
      <w:marRight w:val="0"/>
      <w:marTop w:val="0"/>
      <w:marBottom w:val="0"/>
      <w:divBdr>
        <w:top w:val="none" w:sz="0" w:space="0" w:color="auto"/>
        <w:left w:val="none" w:sz="0" w:space="0" w:color="auto"/>
        <w:bottom w:val="none" w:sz="0" w:space="0" w:color="auto"/>
        <w:right w:val="none" w:sz="0" w:space="0" w:color="auto"/>
      </w:divBdr>
    </w:div>
    <w:div w:id="72704477">
      <w:bodyDiv w:val="1"/>
      <w:marLeft w:val="0"/>
      <w:marRight w:val="0"/>
      <w:marTop w:val="0"/>
      <w:marBottom w:val="0"/>
      <w:divBdr>
        <w:top w:val="none" w:sz="0" w:space="0" w:color="auto"/>
        <w:left w:val="none" w:sz="0" w:space="0" w:color="auto"/>
        <w:bottom w:val="none" w:sz="0" w:space="0" w:color="auto"/>
        <w:right w:val="none" w:sz="0" w:space="0" w:color="auto"/>
      </w:divBdr>
    </w:div>
    <w:div w:id="460193796">
      <w:bodyDiv w:val="1"/>
      <w:marLeft w:val="0"/>
      <w:marRight w:val="0"/>
      <w:marTop w:val="0"/>
      <w:marBottom w:val="0"/>
      <w:divBdr>
        <w:top w:val="none" w:sz="0" w:space="0" w:color="auto"/>
        <w:left w:val="none" w:sz="0" w:space="0" w:color="auto"/>
        <w:bottom w:val="none" w:sz="0" w:space="0" w:color="auto"/>
        <w:right w:val="none" w:sz="0" w:space="0" w:color="auto"/>
      </w:divBdr>
    </w:div>
    <w:div w:id="549270150">
      <w:bodyDiv w:val="1"/>
      <w:marLeft w:val="0"/>
      <w:marRight w:val="0"/>
      <w:marTop w:val="0"/>
      <w:marBottom w:val="0"/>
      <w:divBdr>
        <w:top w:val="none" w:sz="0" w:space="0" w:color="auto"/>
        <w:left w:val="none" w:sz="0" w:space="0" w:color="auto"/>
        <w:bottom w:val="none" w:sz="0" w:space="0" w:color="auto"/>
        <w:right w:val="none" w:sz="0" w:space="0" w:color="auto"/>
      </w:divBdr>
    </w:div>
    <w:div w:id="910894313">
      <w:bodyDiv w:val="1"/>
      <w:marLeft w:val="0"/>
      <w:marRight w:val="0"/>
      <w:marTop w:val="0"/>
      <w:marBottom w:val="0"/>
      <w:divBdr>
        <w:top w:val="none" w:sz="0" w:space="0" w:color="auto"/>
        <w:left w:val="none" w:sz="0" w:space="0" w:color="auto"/>
        <w:bottom w:val="none" w:sz="0" w:space="0" w:color="auto"/>
        <w:right w:val="none" w:sz="0" w:space="0" w:color="auto"/>
      </w:divBdr>
    </w:div>
    <w:div w:id="1029524221">
      <w:bodyDiv w:val="1"/>
      <w:marLeft w:val="0"/>
      <w:marRight w:val="0"/>
      <w:marTop w:val="0"/>
      <w:marBottom w:val="0"/>
      <w:divBdr>
        <w:top w:val="none" w:sz="0" w:space="0" w:color="auto"/>
        <w:left w:val="none" w:sz="0" w:space="0" w:color="auto"/>
        <w:bottom w:val="none" w:sz="0" w:space="0" w:color="auto"/>
        <w:right w:val="none" w:sz="0" w:space="0" w:color="auto"/>
      </w:divBdr>
    </w:div>
    <w:div w:id="1078283639">
      <w:bodyDiv w:val="1"/>
      <w:marLeft w:val="0"/>
      <w:marRight w:val="0"/>
      <w:marTop w:val="0"/>
      <w:marBottom w:val="0"/>
      <w:divBdr>
        <w:top w:val="none" w:sz="0" w:space="0" w:color="auto"/>
        <w:left w:val="none" w:sz="0" w:space="0" w:color="auto"/>
        <w:bottom w:val="none" w:sz="0" w:space="0" w:color="auto"/>
        <w:right w:val="none" w:sz="0" w:space="0" w:color="auto"/>
      </w:divBdr>
    </w:div>
    <w:div w:id="1161581969">
      <w:bodyDiv w:val="1"/>
      <w:marLeft w:val="0"/>
      <w:marRight w:val="0"/>
      <w:marTop w:val="0"/>
      <w:marBottom w:val="0"/>
      <w:divBdr>
        <w:top w:val="none" w:sz="0" w:space="0" w:color="auto"/>
        <w:left w:val="none" w:sz="0" w:space="0" w:color="auto"/>
        <w:bottom w:val="none" w:sz="0" w:space="0" w:color="auto"/>
        <w:right w:val="none" w:sz="0" w:space="0" w:color="auto"/>
      </w:divBdr>
    </w:div>
    <w:div w:id="1363094334">
      <w:bodyDiv w:val="1"/>
      <w:marLeft w:val="0"/>
      <w:marRight w:val="0"/>
      <w:marTop w:val="0"/>
      <w:marBottom w:val="0"/>
      <w:divBdr>
        <w:top w:val="none" w:sz="0" w:space="0" w:color="auto"/>
        <w:left w:val="none" w:sz="0" w:space="0" w:color="auto"/>
        <w:bottom w:val="none" w:sz="0" w:space="0" w:color="auto"/>
        <w:right w:val="none" w:sz="0" w:space="0" w:color="auto"/>
      </w:divBdr>
    </w:div>
    <w:div w:id="1376463605">
      <w:bodyDiv w:val="1"/>
      <w:marLeft w:val="0"/>
      <w:marRight w:val="0"/>
      <w:marTop w:val="0"/>
      <w:marBottom w:val="0"/>
      <w:divBdr>
        <w:top w:val="none" w:sz="0" w:space="0" w:color="auto"/>
        <w:left w:val="none" w:sz="0" w:space="0" w:color="auto"/>
        <w:bottom w:val="none" w:sz="0" w:space="0" w:color="auto"/>
        <w:right w:val="none" w:sz="0" w:space="0" w:color="auto"/>
      </w:divBdr>
    </w:div>
    <w:div w:id="1926068778">
      <w:bodyDiv w:val="1"/>
      <w:marLeft w:val="0"/>
      <w:marRight w:val="0"/>
      <w:marTop w:val="0"/>
      <w:marBottom w:val="0"/>
      <w:divBdr>
        <w:top w:val="none" w:sz="0" w:space="0" w:color="auto"/>
        <w:left w:val="none" w:sz="0" w:space="0" w:color="auto"/>
        <w:bottom w:val="none" w:sz="0" w:space="0" w:color="auto"/>
        <w:right w:val="none" w:sz="0" w:space="0" w:color="auto"/>
      </w:divBdr>
    </w:div>
    <w:div w:id="1970747824">
      <w:bodyDiv w:val="1"/>
      <w:marLeft w:val="0"/>
      <w:marRight w:val="0"/>
      <w:marTop w:val="0"/>
      <w:marBottom w:val="0"/>
      <w:divBdr>
        <w:top w:val="none" w:sz="0" w:space="0" w:color="auto"/>
        <w:left w:val="none" w:sz="0" w:space="0" w:color="auto"/>
        <w:bottom w:val="none" w:sz="0" w:space="0" w:color="auto"/>
        <w:right w:val="none" w:sz="0" w:space="0" w:color="auto"/>
      </w:divBdr>
    </w:div>
    <w:div w:id="2002467253">
      <w:bodyDiv w:val="1"/>
      <w:marLeft w:val="0"/>
      <w:marRight w:val="0"/>
      <w:marTop w:val="0"/>
      <w:marBottom w:val="0"/>
      <w:divBdr>
        <w:top w:val="none" w:sz="0" w:space="0" w:color="auto"/>
        <w:left w:val="none" w:sz="0" w:space="0" w:color="auto"/>
        <w:bottom w:val="none" w:sz="0" w:space="0" w:color="auto"/>
        <w:right w:val="none" w:sz="0" w:space="0" w:color="auto"/>
      </w:divBdr>
    </w:div>
    <w:div w:id="2032299933">
      <w:bodyDiv w:val="1"/>
      <w:marLeft w:val="0"/>
      <w:marRight w:val="0"/>
      <w:marTop w:val="0"/>
      <w:marBottom w:val="0"/>
      <w:divBdr>
        <w:top w:val="none" w:sz="0" w:space="0" w:color="auto"/>
        <w:left w:val="none" w:sz="0" w:space="0" w:color="auto"/>
        <w:bottom w:val="none" w:sz="0" w:space="0" w:color="auto"/>
        <w:right w:val="none" w:sz="0" w:space="0" w:color="auto"/>
      </w:divBdr>
    </w:div>
    <w:div w:id="2109038829">
      <w:bodyDiv w:val="1"/>
      <w:marLeft w:val="0"/>
      <w:marRight w:val="0"/>
      <w:marTop w:val="0"/>
      <w:marBottom w:val="0"/>
      <w:divBdr>
        <w:top w:val="none" w:sz="0" w:space="0" w:color="auto"/>
        <w:left w:val="none" w:sz="0" w:space="0" w:color="auto"/>
        <w:bottom w:val="none" w:sz="0" w:space="0" w:color="auto"/>
        <w:right w:val="none" w:sz="0" w:space="0" w:color="auto"/>
      </w:divBdr>
    </w:div>
    <w:div w:id="214565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kertilly.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kertillyinternational.com/web/home.aspx"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kamila.zitnakova@crestcom.cz"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D324D755-B27C-44A7-AE74-9DCC544A0D65}">
  <ds:schemaRefs>
    <ds:schemaRef ds:uri="http://schemas.openxmlformats.org/officeDocument/2006/bibliography"/>
  </ds:schemaRefs>
</ds:datastoreItem>
</file>

<file path=customXml/itemProps2.xml><?xml version="1.0" encoding="utf-8"?>
<ds:datastoreItem xmlns:ds="http://schemas.openxmlformats.org/officeDocument/2006/customXml" ds:itemID="{CC8FF66F-A157-442A-8009-5FD2957D1C07}">
  <ds:schemaRefs>
    <ds:schemaRef ds:uri="http://schemas.microsoft.com/sharepoint/v3/contenttype/forms"/>
  </ds:schemaRefs>
</ds:datastoreItem>
</file>

<file path=customXml/itemProps3.xml><?xml version="1.0" encoding="utf-8"?>
<ds:datastoreItem xmlns:ds="http://schemas.openxmlformats.org/officeDocument/2006/customXml" ds:itemID="{BC9A3962-38AA-4013-8207-ECB6B0310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7E4DF-B34A-40D8-9B4C-46486313516F}">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619</Words>
  <Characters>3655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Linhartová</dc:creator>
  <cp:keywords/>
  <dc:description/>
  <cp:lastModifiedBy>Natalie Zbuzková</cp:lastModifiedBy>
  <cp:revision>8</cp:revision>
  <cp:lastPrinted>2016-08-25T19:42:00Z</cp:lastPrinted>
  <dcterms:created xsi:type="dcterms:W3CDTF">2025-01-23T13:27:00Z</dcterms:created>
  <dcterms:modified xsi:type="dcterms:W3CDTF">2025-01-29T09:20:00Z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